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74" w:rsidRDefault="00EB3E74" w:rsidP="009C7E9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075127" w:rsidRPr="002A6522" w:rsidRDefault="00454815" w:rsidP="009C7E98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2A6522">
        <w:rPr>
          <w:rFonts w:ascii="標楷體" w:eastAsia="標楷體" w:hAnsi="標楷體" w:hint="eastAsia"/>
          <w:b/>
          <w:bCs/>
          <w:sz w:val="28"/>
          <w:szCs w:val="28"/>
        </w:rPr>
        <w:t>國立臺東大學學生工讀金作業</w:t>
      </w:r>
      <w:r w:rsidR="001965FA" w:rsidRPr="002A6522">
        <w:rPr>
          <w:rFonts w:ascii="標楷體" w:eastAsia="標楷體" w:hAnsi="標楷體" w:hint="eastAsia"/>
          <w:b/>
          <w:bCs/>
          <w:sz w:val="28"/>
          <w:szCs w:val="28"/>
        </w:rPr>
        <w:t>要點</w:t>
      </w:r>
      <w:r w:rsidR="002B0D66">
        <w:rPr>
          <w:rFonts w:ascii="標楷體" w:eastAsia="標楷體" w:hAnsi="標楷體" w:hint="eastAsia"/>
          <w:b/>
          <w:bCs/>
          <w:sz w:val="28"/>
          <w:szCs w:val="28"/>
        </w:rPr>
        <w:t>(修正後全文)</w:t>
      </w:r>
    </w:p>
    <w:p w:rsidR="005F3DE2" w:rsidRDefault="005F3DE2" w:rsidP="005F3DE2">
      <w:pPr>
        <w:jc w:val="right"/>
        <w:rPr>
          <w:rFonts w:ascii="標楷體" w:eastAsia="標楷體" w:hAnsi="標楷體"/>
          <w:b/>
          <w:bCs/>
          <w:sz w:val="20"/>
          <w:szCs w:val="20"/>
        </w:rPr>
      </w:pPr>
      <w:r w:rsidRPr="002A6522">
        <w:rPr>
          <w:rFonts w:ascii="標楷體" w:eastAsia="標楷體" w:hAnsi="標楷體" w:hint="eastAsia"/>
          <w:b/>
          <w:bCs/>
          <w:sz w:val="20"/>
          <w:szCs w:val="20"/>
        </w:rPr>
        <w:t>104學年度第一學期第一次行政會議通過104.09.03</w:t>
      </w:r>
    </w:p>
    <w:p w:rsidR="00893508" w:rsidRPr="008225AC" w:rsidRDefault="00893508" w:rsidP="00893508">
      <w:pPr>
        <w:jc w:val="right"/>
        <w:rPr>
          <w:rFonts w:ascii="標楷體" w:eastAsia="標楷體" w:hAnsi="標楷體"/>
          <w:b/>
          <w:bCs/>
          <w:sz w:val="20"/>
          <w:szCs w:val="20"/>
        </w:rPr>
      </w:pPr>
      <w:r w:rsidRPr="008225AC">
        <w:rPr>
          <w:rFonts w:ascii="標楷體" w:eastAsia="標楷體" w:hAnsi="標楷體" w:hint="eastAsia"/>
          <w:b/>
          <w:bCs/>
          <w:sz w:val="20"/>
          <w:szCs w:val="20"/>
        </w:rPr>
        <w:t>104學年度第一學期第二次行政會議修正通過104.11.27</w:t>
      </w:r>
    </w:p>
    <w:p w:rsidR="00893508" w:rsidRDefault="00893508" w:rsidP="00893508">
      <w:pPr>
        <w:jc w:val="right"/>
        <w:rPr>
          <w:rFonts w:ascii="標楷體" w:eastAsia="標楷體" w:hAnsi="標楷體"/>
          <w:b/>
          <w:bCs/>
          <w:color w:val="FF0000"/>
          <w:sz w:val="20"/>
          <w:szCs w:val="20"/>
        </w:rPr>
      </w:pPr>
      <w:r w:rsidRPr="00893508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104學年度第二學期第二次行政會議修正通過105.04.</w:t>
      </w:r>
      <w:r w:rsidR="00837C13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21</w:t>
      </w:r>
    </w:p>
    <w:p w:rsidR="007C73B2" w:rsidRDefault="007C73B2" w:rsidP="00893508">
      <w:pPr>
        <w:jc w:val="right"/>
        <w:rPr>
          <w:rFonts w:ascii="標楷體" w:eastAsia="標楷體" w:hAnsi="標楷體" w:hint="eastAsia"/>
          <w:b/>
          <w:bCs/>
          <w:color w:val="FF0000"/>
          <w:sz w:val="20"/>
          <w:szCs w:val="20"/>
        </w:rPr>
      </w:pPr>
      <w:r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105學年度第一學期第一次行政會議修正通過105.09.01</w:t>
      </w:r>
    </w:p>
    <w:p w:rsidR="007A1EC2" w:rsidRPr="00893508" w:rsidRDefault="007A1EC2" w:rsidP="00893508">
      <w:pPr>
        <w:jc w:val="right"/>
        <w:rPr>
          <w:rFonts w:ascii="標楷體" w:eastAsia="標楷體" w:hAnsi="標楷體"/>
          <w:b/>
          <w:bCs/>
          <w:color w:val="FF0000"/>
          <w:sz w:val="20"/>
          <w:szCs w:val="20"/>
        </w:rPr>
      </w:pPr>
      <w:r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105學年度第一學期第一次校務基金管理委員會通過105.10.26</w:t>
      </w:r>
      <w:bookmarkStart w:id="0" w:name="_GoBack"/>
      <w:bookmarkEnd w:id="0"/>
    </w:p>
    <w:p w:rsidR="00893508" w:rsidRPr="00893508" w:rsidRDefault="00893508" w:rsidP="005F3DE2">
      <w:pPr>
        <w:jc w:val="right"/>
        <w:rPr>
          <w:rFonts w:ascii="標楷體" w:eastAsia="標楷體" w:hAnsi="標楷體"/>
          <w:b/>
          <w:bCs/>
          <w:sz w:val="20"/>
          <w:szCs w:val="20"/>
        </w:rPr>
      </w:pPr>
    </w:p>
    <w:p w:rsidR="00B10250" w:rsidRPr="002A6522" w:rsidRDefault="00B10250" w:rsidP="00B1025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2A6522">
        <w:rPr>
          <w:rFonts w:ascii="標楷體" w:eastAsia="標楷體" w:hAnsi="標楷體" w:hint="eastAsia"/>
          <w:szCs w:val="24"/>
        </w:rPr>
        <w:t>國立臺東大學（以下簡稱本校）依據教育部「專科以上學校強化學生兼任助理學習與勞動權益保障處理原則」及「</w:t>
      </w:r>
      <w:r w:rsidRPr="002A6522">
        <w:rPr>
          <w:rFonts w:ascii="標楷體" w:eastAsia="標楷體" w:hAnsi="標楷體" w:hint="eastAsia"/>
          <w:bCs/>
          <w:szCs w:val="24"/>
        </w:rPr>
        <w:t>國立臺東大學學生兼任助理學習與勞動權益保障推動要點」</w:t>
      </w:r>
      <w:r w:rsidRPr="002A6522">
        <w:rPr>
          <w:rFonts w:ascii="標楷體" w:eastAsia="標楷體" w:hAnsi="標楷體" w:hint="eastAsia"/>
          <w:szCs w:val="24"/>
        </w:rPr>
        <w:t>訂定國立臺東大學學生工讀金作業要點(以下簡稱本要點)。</w:t>
      </w:r>
    </w:p>
    <w:p w:rsidR="00B10250" w:rsidRPr="002A6522" w:rsidRDefault="00B10250" w:rsidP="00B1025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本校提供學生校內工讀，旨在協助本校學生在學期間，藉工讀實務擴大學習領域，養成正確之工作態度與責任感，培育獨立自主精神，並為</w:t>
      </w:r>
      <w:r w:rsidRPr="002A6522">
        <w:rPr>
          <w:rFonts w:ascii="標楷體" w:eastAsia="標楷體" w:hAnsi="標楷體" w:cs="新細明體"/>
          <w:kern w:val="0"/>
          <w:szCs w:val="24"/>
        </w:rPr>
        <w:t>加強照顧經濟弱勢學生，協助清寒學生順利就學，厚植弱勢學生畢業後就業能力，得優先核准身心障礙、家境清寒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、原住民族</w:t>
      </w:r>
      <w:r w:rsidRPr="002A6522">
        <w:rPr>
          <w:rFonts w:ascii="標楷體" w:eastAsia="標楷體" w:hAnsi="標楷體" w:cs="新細明體"/>
          <w:kern w:val="0"/>
          <w:szCs w:val="24"/>
        </w:rPr>
        <w:t>或其他弱勢家庭學生之申請。</w:t>
      </w:r>
    </w:p>
    <w:p w:rsidR="00B10250" w:rsidRPr="002A6522" w:rsidRDefault="00B10250" w:rsidP="00B1025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2A6522">
        <w:rPr>
          <w:rFonts w:ascii="標楷體" w:eastAsia="標楷體" w:hAnsi="標楷體" w:cs="新細明體"/>
          <w:kern w:val="0"/>
          <w:szCs w:val="24"/>
        </w:rPr>
        <w:t>本校在學學生得申請工讀金，但大陸地區學生不適用之。工讀服務內容為協助校內各單位業務與支援校內活動，並以不妨礙工讀生之學業與身心發展為限。</w:t>
      </w:r>
    </w:p>
    <w:p w:rsidR="00B10250" w:rsidRPr="002A6522" w:rsidRDefault="00B10250" w:rsidP="00B10250">
      <w:pPr>
        <w:pStyle w:val="a3"/>
        <w:ind w:leftChars="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/>
          <w:kern w:val="0"/>
          <w:szCs w:val="24"/>
        </w:rPr>
        <w:t>工讀型態分為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長期</w:t>
      </w:r>
      <w:r w:rsidRPr="002A6522">
        <w:rPr>
          <w:rFonts w:ascii="標楷體" w:eastAsia="標楷體" w:hAnsi="標楷體" w:cs="新細明體"/>
          <w:kern w:val="0"/>
          <w:szCs w:val="24"/>
        </w:rPr>
        <w:t>工讀生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2A6522">
        <w:rPr>
          <w:rFonts w:ascii="標楷體" w:eastAsia="標楷體" w:hAnsi="標楷體" w:cs="新細明體"/>
          <w:kern w:val="0"/>
          <w:szCs w:val="24"/>
        </w:rPr>
        <w:t>臨時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人員二</w:t>
      </w:r>
      <w:r w:rsidRPr="002A6522">
        <w:rPr>
          <w:rFonts w:ascii="標楷體" w:eastAsia="標楷體" w:hAnsi="標楷體" w:cs="新細明體"/>
          <w:kern w:val="0"/>
          <w:szCs w:val="24"/>
        </w:rPr>
        <w:t>類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(以下簡稱工讀生)</w:t>
      </w:r>
      <w:r w:rsidRPr="002A6522">
        <w:rPr>
          <w:rFonts w:ascii="標楷體" w:eastAsia="標楷體" w:hAnsi="標楷體" w:cs="新細明體"/>
          <w:kern w:val="0"/>
          <w:szCs w:val="24"/>
        </w:rPr>
        <w:t>：</w:t>
      </w:r>
    </w:p>
    <w:p w:rsidR="00B10250" w:rsidRPr="002A6522" w:rsidRDefault="00B10250" w:rsidP="00B10250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長期</w:t>
      </w:r>
      <w:r w:rsidRPr="002A6522">
        <w:rPr>
          <w:rFonts w:ascii="標楷體" w:eastAsia="標楷體" w:hAnsi="標楷體" w:cs="新細明體"/>
          <w:kern w:val="0"/>
          <w:szCs w:val="24"/>
        </w:rPr>
        <w:t>工讀生：</w:t>
      </w:r>
    </w:p>
    <w:p w:rsidR="00B10250" w:rsidRPr="002A6522" w:rsidRDefault="00B10250" w:rsidP="00B10250">
      <w:pPr>
        <w:pStyle w:val="a3"/>
        <w:ind w:leftChars="273" w:left="849" w:hangingChars="81" w:hanging="194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1.</w:t>
      </w:r>
      <w:r w:rsidRPr="002A6522">
        <w:rPr>
          <w:rFonts w:ascii="標楷體" w:eastAsia="標楷體" w:hAnsi="標楷體" w:cs="新細明體"/>
          <w:kern w:val="0"/>
          <w:szCs w:val="24"/>
        </w:rPr>
        <w:t>為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各</w:t>
      </w:r>
      <w:r w:rsidRPr="002A6522">
        <w:rPr>
          <w:rFonts w:ascii="標楷體" w:eastAsia="標楷體" w:hAnsi="標楷體" w:cs="新細明體"/>
          <w:kern w:val="0"/>
          <w:szCs w:val="24"/>
        </w:rPr>
        <w:t>單位排班之工讀生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，其經費由學務處工讀金專款支應，聘僱期程為每學期開學日至寒暑假前一日</w:t>
      </w:r>
      <w:r w:rsidRPr="002A6522">
        <w:rPr>
          <w:rFonts w:ascii="標楷體" w:eastAsia="標楷體" w:hAnsi="標楷體" w:cs="新細明體"/>
          <w:kern w:val="0"/>
          <w:szCs w:val="24"/>
        </w:rPr>
        <w:t>。</w:t>
      </w:r>
    </w:p>
    <w:p w:rsidR="00B10250" w:rsidRPr="002A6522" w:rsidRDefault="00B10250" w:rsidP="00B10250">
      <w:pPr>
        <w:pStyle w:val="a3"/>
        <w:ind w:leftChars="273" w:left="849" w:hangingChars="81" w:hanging="194"/>
        <w:rPr>
          <w:rFonts w:ascii="標楷體" w:eastAsia="標楷體" w:hAnsi="標楷體"/>
          <w:szCs w:val="24"/>
        </w:rPr>
      </w:pPr>
      <w:r w:rsidRPr="002A6522">
        <w:rPr>
          <w:rFonts w:ascii="標楷體" w:eastAsia="標楷體" w:hAnsi="標楷體" w:hint="eastAsia"/>
          <w:szCs w:val="24"/>
        </w:rPr>
        <w:t>2.</w:t>
      </w:r>
      <w:r w:rsidRPr="002A6522">
        <w:rPr>
          <w:rFonts w:ascii="標楷體" w:eastAsia="標楷體" w:hAnsi="標楷體" w:cs="新細明體"/>
          <w:kern w:val="0"/>
          <w:szCs w:val="24"/>
        </w:rPr>
        <w:t>支援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各單位</w:t>
      </w:r>
      <w:r w:rsidRPr="002A6522">
        <w:rPr>
          <w:rFonts w:ascii="標楷體" w:eastAsia="標楷體" w:hAnsi="標楷體" w:cs="新細明體"/>
          <w:kern w:val="0"/>
          <w:szCs w:val="24"/>
        </w:rPr>
        <w:t>活動之工讀生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，其經費由計畫及各單位相關經費支應，聘僱期程達一個月以上者，工讀時數依單位需求自行訂定之</w:t>
      </w:r>
      <w:r w:rsidRPr="002A6522">
        <w:rPr>
          <w:rFonts w:ascii="標楷體" w:eastAsia="標楷體" w:hAnsi="標楷體" w:cs="新細明體"/>
          <w:kern w:val="0"/>
          <w:szCs w:val="24"/>
        </w:rPr>
        <w:t>。</w:t>
      </w:r>
    </w:p>
    <w:p w:rsidR="00B10250" w:rsidRPr="002A6522" w:rsidRDefault="00B10250" w:rsidP="00B10250">
      <w:pPr>
        <w:pStyle w:val="a3"/>
        <w:numPr>
          <w:ilvl w:val="1"/>
          <w:numId w:val="9"/>
        </w:numPr>
        <w:ind w:leftChars="0"/>
        <w:rPr>
          <w:rFonts w:ascii="標楷體" w:eastAsia="標楷體" w:hAnsi="標楷體"/>
          <w:szCs w:val="24"/>
        </w:rPr>
      </w:pPr>
      <w:r w:rsidRPr="002A6522">
        <w:rPr>
          <w:rFonts w:ascii="標楷體" w:eastAsia="標楷體" w:hAnsi="標楷體" w:cs="新細明體"/>
          <w:kern w:val="0"/>
          <w:szCs w:val="24"/>
        </w:rPr>
        <w:t>臨時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人員：</w:t>
      </w:r>
      <w:r w:rsidRPr="002A6522">
        <w:rPr>
          <w:rFonts w:ascii="標楷體" w:eastAsia="標楷體" w:hAnsi="標楷體" w:cs="新細明體"/>
          <w:kern w:val="0"/>
          <w:szCs w:val="24"/>
        </w:rPr>
        <w:t>短期支援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各單位</w:t>
      </w:r>
      <w:r w:rsidRPr="002A6522">
        <w:rPr>
          <w:rFonts w:ascii="標楷體" w:eastAsia="標楷體" w:hAnsi="標楷體" w:cs="新細明體"/>
          <w:kern w:val="0"/>
          <w:szCs w:val="24"/>
        </w:rPr>
        <w:t>活動之工讀生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，其經費由計畫及各單位相關經費支應，聘僱期程未達一個月，工讀時數依單位需求自行訂定之</w:t>
      </w:r>
      <w:r w:rsidRPr="002A6522">
        <w:rPr>
          <w:rFonts w:ascii="標楷體" w:eastAsia="標楷體" w:hAnsi="標楷體" w:cs="新細明體"/>
          <w:kern w:val="0"/>
          <w:szCs w:val="24"/>
        </w:rPr>
        <w:t>。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計畫性工讀生之進用申請、工作內容管理及工作酬金請領等，由計畫主持人負責，並依規定填具相關表格。</w:t>
      </w:r>
    </w:p>
    <w:p w:rsidR="00B10250" w:rsidRPr="002A6522" w:rsidRDefault="00B10250" w:rsidP="00B10250">
      <w:pPr>
        <w:ind w:leftChars="192" w:left="475" w:hangingChars="6" w:hanging="14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/>
          <w:kern w:val="0"/>
          <w:szCs w:val="24"/>
        </w:rPr>
        <w:t>申請人未滿二十歲者，須得法定代理人同意。外國學生及僑生申請時須檢附工作許可證，工讀期間以工作許可證有效期間為限。</w:t>
      </w:r>
    </w:p>
    <w:p w:rsidR="00B10250" w:rsidRPr="002A6522" w:rsidRDefault="00B10250" w:rsidP="00B10250">
      <w:pPr>
        <w:ind w:leftChars="-12" w:left="504" w:hangingChars="222" w:hanging="533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2A652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有關本要點之管理單位，視工讀金經費支應來源不同，分別由學務處負責其工讀金專款支應業務，教務處負責由其計畫經費支應業務，研究發展處負責其他除教務處計畫以外之計畫經費支應業務。</w:t>
      </w:r>
    </w:p>
    <w:p w:rsidR="00B10250" w:rsidRPr="002A6522" w:rsidRDefault="00B10250" w:rsidP="00B10250">
      <w:pPr>
        <w:snapToGrid w:val="0"/>
        <w:ind w:left="432" w:hangingChars="180" w:hanging="432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四、各單位及計畫主持人(以下簡稱用人單位)聘用工讀生應先填具</w:t>
      </w:r>
      <w:r w:rsidRPr="00974B82">
        <w:rPr>
          <w:rFonts w:ascii="標楷體" w:eastAsia="標楷體" w:hAnsi="標楷體" w:cs="新細明體" w:hint="eastAsia"/>
          <w:kern w:val="0"/>
          <w:szCs w:val="24"/>
        </w:rPr>
        <w:t>國立臺東大學工讀生/臨時人員申請表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，核准後於聘用前一周內完成簽訂</w:t>
      </w:r>
      <w:r w:rsidRPr="00837C13">
        <w:rPr>
          <w:rFonts w:ascii="標楷體" w:eastAsia="標楷體" w:hAnsi="標楷體" w:cs="新細明體" w:hint="eastAsia"/>
          <w:kern w:val="0"/>
          <w:szCs w:val="24"/>
        </w:rPr>
        <w:t>國立臺東大學工讀生(臨時人員)勞動定期契約書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837C13">
        <w:rPr>
          <w:rFonts w:ascii="標楷體" w:eastAsia="標楷體" w:hAnsi="標楷體" w:cs="新細明體" w:hint="eastAsia"/>
          <w:kern w:val="0"/>
          <w:szCs w:val="24"/>
        </w:rPr>
        <w:t>國立臺東大學兼任助理及工讀生（臨時人員）勞、健保加保及勞工退休金提繳申請表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10250" w:rsidRPr="00837C13" w:rsidRDefault="00B10250" w:rsidP="00B10250">
      <w:pPr>
        <w:snapToGrid w:val="0"/>
        <w:ind w:left="432" w:hangingChars="180" w:hanging="432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 xml:space="preserve">   工讀生得於</w:t>
      </w:r>
      <w:r w:rsidRPr="00837C13">
        <w:rPr>
          <w:rFonts w:ascii="標楷體" w:eastAsia="標楷體" w:hAnsi="標楷體" w:cs="新細明體" w:hint="eastAsia"/>
          <w:kern w:val="0"/>
          <w:szCs w:val="24"/>
        </w:rPr>
        <w:t>符合以下情況之一，申請不投保全民健康保險：</w:t>
      </w:r>
    </w:p>
    <w:p w:rsidR="00B10250" w:rsidRPr="002A6522" w:rsidRDefault="00B10250" w:rsidP="00B10250">
      <w:pPr>
        <w:snapToGrid w:val="0"/>
        <w:ind w:leftChars="150" w:left="360" w:firstLineChars="50" w:firstLine="12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hint="eastAsia"/>
          <w:b/>
          <w:szCs w:val="24"/>
        </w:rPr>
        <w:t>(一)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已有其他主要工作（於他處工作時間較長或所得較高）。</w:t>
      </w:r>
    </w:p>
    <w:p w:rsidR="00B10250" w:rsidRPr="002A6522" w:rsidRDefault="00B10250" w:rsidP="00B10250">
      <w:pPr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 xml:space="preserve">    (二)工作期間未達三個月</w:t>
      </w:r>
      <w:r w:rsidRPr="002A6522">
        <w:rPr>
          <w:rFonts w:ascii="標楷體" w:eastAsia="標楷體" w:hAnsi="標楷體" w:cs="新細明體"/>
          <w:kern w:val="0"/>
          <w:szCs w:val="24"/>
        </w:rPr>
        <w:t>，且未喪失原有之投保資格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10250" w:rsidRPr="002A6522" w:rsidRDefault="00B10250" w:rsidP="00B10250">
      <w:pPr>
        <w:ind w:left="48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(三)</w:t>
      </w:r>
      <w:r w:rsidRPr="002A6522">
        <w:rPr>
          <w:rFonts w:ascii="標楷體" w:eastAsia="標楷體" w:hAnsi="標楷體" w:cs="新細明體"/>
          <w:kern w:val="0"/>
          <w:szCs w:val="24"/>
        </w:rPr>
        <w:t>非每個工作日到工，其每週工作時數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未達十二</w:t>
      </w:r>
      <w:r w:rsidRPr="002A6522">
        <w:rPr>
          <w:rFonts w:ascii="標楷體" w:eastAsia="標楷體" w:hAnsi="標楷體" w:cs="新細明體"/>
          <w:kern w:val="0"/>
          <w:szCs w:val="24"/>
        </w:rPr>
        <w:t>小時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10250" w:rsidRPr="002A6522" w:rsidRDefault="00B10250" w:rsidP="00B10250">
      <w:pPr>
        <w:ind w:left="48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(四)僑外(外籍)生健保已由學務處加保者。</w:t>
      </w:r>
    </w:p>
    <w:p w:rsidR="00B10250" w:rsidRPr="002A6522" w:rsidRDefault="00B10250" w:rsidP="00B10250">
      <w:pPr>
        <w:snapToGrid w:val="0"/>
        <w:spacing w:line="0" w:lineRule="atLeast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 w:rsidRPr="002A6522">
        <w:rPr>
          <w:rFonts w:ascii="標楷體" w:eastAsia="標楷體" w:hAnsi="標楷體" w:hint="eastAsia"/>
          <w:color w:val="000000"/>
          <w:szCs w:val="24"/>
        </w:rPr>
        <w:lastRenderedPageBreak/>
        <w:t xml:space="preserve">    工讀生</w:t>
      </w:r>
      <w:r w:rsidRPr="002A6522">
        <w:rPr>
          <w:rFonts w:ascii="標楷體" w:eastAsia="標楷體" w:hAnsi="標楷體"/>
          <w:color w:val="000000"/>
          <w:szCs w:val="24"/>
        </w:rPr>
        <w:t>每個工作日到工者，無論每日工作時數若干</w:t>
      </w:r>
      <w:r w:rsidRPr="002A6522">
        <w:rPr>
          <w:rFonts w:ascii="標楷體" w:eastAsia="標楷體" w:hAnsi="標楷體" w:hint="eastAsia"/>
          <w:color w:val="000000"/>
          <w:szCs w:val="24"/>
        </w:rPr>
        <w:t>，請依法辦理加保。</w:t>
      </w:r>
    </w:p>
    <w:p w:rsidR="00B10250" w:rsidRPr="002A6522" w:rsidRDefault="00B10250" w:rsidP="00B10250">
      <w:pPr>
        <w:snapToGrid w:val="0"/>
        <w:spacing w:line="0" w:lineRule="atLeast"/>
        <w:ind w:left="461" w:hangingChars="192" w:hanging="461"/>
        <w:rPr>
          <w:rFonts w:ascii="標楷體" w:eastAsia="標楷體" w:hAnsi="標楷體"/>
          <w:color w:val="000000"/>
          <w:szCs w:val="24"/>
        </w:rPr>
      </w:pPr>
      <w:r w:rsidRPr="002A6522">
        <w:rPr>
          <w:rFonts w:ascii="標楷體" w:eastAsia="標楷體" w:hAnsi="標楷體" w:hint="eastAsia"/>
          <w:color w:val="000000"/>
          <w:szCs w:val="24"/>
        </w:rPr>
        <w:t xml:space="preserve">    工讀生為外籍人士者須依法提出工作證。</w:t>
      </w:r>
    </w:p>
    <w:p w:rsidR="00B10250" w:rsidRPr="002A6522" w:rsidRDefault="00B10250" w:rsidP="00B10250">
      <w:pPr>
        <w:snapToGrid w:val="0"/>
        <w:spacing w:line="0" w:lineRule="atLeast"/>
        <w:ind w:left="461" w:hangingChars="192" w:hanging="461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五、</w:t>
      </w:r>
      <w:r w:rsidRPr="002A6522">
        <w:rPr>
          <w:rFonts w:ascii="標楷體" w:eastAsia="標楷體" w:hAnsi="標楷體" w:cs="新細明體"/>
          <w:kern w:val="0"/>
          <w:szCs w:val="24"/>
        </w:rPr>
        <w:t>學生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若進行工讀服務</w:t>
      </w:r>
      <w:r w:rsidRPr="002A6522">
        <w:rPr>
          <w:rFonts w:ascii="標楷體" w:eastAsia="標楷體" w:hAnsi="標楷體" w:cs="新細明體"/>
          <w:kern w:val="0"/>
          <w:szCs w:val="24"/>
        </w:rPr>
        <w:t>應利用空堂、課餘或寒暑假期間進行工讀服務，每日不超過八小時，每二週不超過八十小時。每繼續服務四小時，至少應有三十分鐘之休息。</w:t>
      </w:r>
    </w:p>
    <w:p w:rsidR="00B10250" w:rsidRPr="002A6522" w:rsidRDefault="00B10250" w:rsidP="00B10250">
      <w:pPr>
        <w:pStyle w:val="a3"/>
        <w:ind w:leftChars="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/>
          <w:kern w:val="0"/>
          <w:szCs w:val="24"/>
        </w:rPr>
        <w:t>除寒暑假外，外國籍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學</w:t>
      </w:r>
      <w:r w:rsidRPr="002A6522">
        <w:rPr>
          <w:rFonts w:ascii="標楷體" w:eastAsia="標楷體" w:hAnsi="標楷體" w:cs="新細明體"/>
          <w:kern w:val="0"/>
          <w:szCs w:val="24"/>
        </w:rPr>
        <w:t>生每週工讀服務時數不得超過二十小時，每月以四週計。</w:t>
      </w:r>
    </w:p>
    <w:p w:rsidR="00B10250" w:rsidRPr="002A6522" w:rsidRDefault="00B10250" w:rsidP="00B10250">
      <w:pPr>
        <w:pStyle w:val="a3"/>
        <w:ind w:leftChars="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紀念日、勞動日節日及其他由中央主管機關規定應放假日，原約定出勤者，均應休假，工資照給；原約定不出勤者，無工資請求權。</w:t>
      </w:r>
    </w:p>
    <w:p w:rsidR="00B10250" w:rsidRPr="002A6522" w:rsidRDefault="00B10250" w:rsidP="00B10250">
      <w:pPr>
        <w:ind w:left="516" w:hangingChars="215" w:hanging="516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六、</w:t>
      </w:r>
      <w:r w:rsidRPr="002A6522">
        <w:rPr>
          <w:rFonts w:ascii="標楷體" w:eastAsia="標楷體" w:hAnsi="標楷體" w:cs="新細明體"/>
          <w:kern w:val="0"/>
          <w:szCs w:val="24"/>
        </w:rPr>
        <w:t>工讀生之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工讀</w:t>
      </w:r>
      <w:r w:rsidRPr="002A6522">
        <w:rPr>
          <w:rFonts w:ascii="標楷體" w:eastAsia="標楷體" w:hAnsi="標楷體" w:cs="新細明體"/>
          <w:kern w:val="0"/>
          <w:szCs w:val="24"/>
        </w:rPr>
        <w:t>金依法定基本時薪為基準發給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10250" w:rsidRPr="002A6522" w:rsidRDefault="00B10250" w:rsidP="00B10250">
      <w:pPr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七、</w:t>
      </w:r>
      <w:r w:rsidRPr="002A6522">
        <w:rPr>
          <w:rFonts w:ascii="標楷體" w:eastAsia="標楷體" w:hAnsi="標楷體" w:cs="新細明體"/>
          <w:kern w:val="0"/>
          <w:szCs w:val="24"/>
        </w:rPr>
        <w:t>工讀生應於工讀期間，逐日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翔</w:t>
      </w:r>
      <w:r w:rsidRPr="002A6522">
        <w:rPr>
          <w:rFonts w:ascii="標楷體" w:eastAsia="標楷體" w:hAnsi="標楷體" w:cs="新細明體"/>
          <w:kern w:val="0"/>
          <w:szCs w:val="24"/>
        </w:rPr>
        <w:t>實填寫出勤紀錄表，時間應記載至分鐘。</w:t>
      </w:r>
    </w:p>
    <w:p w:rsidR="00B10250" w:rsidRPr="002A6522" w:rsidRDefault="00B10250" w:rsidP="00B10250">
      <w:pPr>
        <w:ind w:left="475" w:hangingChars="198" w:hanging="475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八、</w:t>
      </w:r>
      <w:r w:rsidRPr="002A6522">
        <w:rPr>
          <w:rFonts w:ascii="標楷體" w:eastAsia="標楷體" w:hAnsi="標楷體" w:cs="新細明體"/>
          <w:kern w:val="0"/>
          <w:szCs w:val="24"/>
        </w:rPr>
        <w:t>工讀生未能於預定時間服務者，須事先以書面向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用人</w:t>
      </w:r>
      <w:r w:rsidRPr="002A6522">
        <w:rPr>
          <w:rFonts w:ascii="標楷體" w:eastAsia="標楷體" w:hAnsi="標楷體" w:cs="新細明體"/>
          <w:kern w:val="0"/>
          <w:szCs w:val="24"/>
        </w:rPr>
        <w:t>單位請假。</w:t>
      </w:r>
      <w:r w:rsidRPr="002A6522">
        <w:rPr>
          <w:rFonts w:ascii="標楷體" w:eastAsia="標楷體" w:hAnsi="標楷體" w:cs="新細明體"/>
          <w:kern w:val="0"/>
          <w:szCs w:val="24"/>
        </w:rPr>
        <w:br/>
        <w:t>未辦理請假或請假期滿未獲許可續假，而無故不履行服務者，以曠職論。</w:t>
      </w:r>
      <w:r w:rsidRPr="002A6522">
        <w:rPr>
          <w:rFonts w:ascii="標楷體" w:eastAsia="標楷體" w:hAnsi="標楷體" w:cs="新細明體"/>
          <w:kern w:val="0"/>
          <w:szCs w:val="24"/>
        </w:rPr>
        <w:br/>
        <w:t>服務時間內未獲許可或未辦理請假，無故離開服務處所或離校外出者，離開期間視為曠職。</w:t>
      </w:r>
    </w:p>
    <w:p w:rsidR="00B10250" w:rsidRPr="002A6522" w:rsidRDefault="00B10250" w:rsidP="00B10250">
      <w:pPr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九、</w:t>
      </w:r>
      <w:r w:rsidRPr="002A6522">
        <w:rPr>
          <w:rFonts w:ascii="標楷體" w:eastAsia="標楷體" w:hAnsi="標楷體" w:cs="新細明體"/>
          <w:kern w:val="0"/>
          <w:szCs w:val="24"/>
        </w:rPr>
        <w:t>工讀生應遵守之規定：</w:t>
      </w:r>
    </w:p>
    <w:p w:rsidR="00B10250" w:rsidRPr="002A6522" w:rsidRDefault="00B10250" w:rsidP="00B10250">
      <w:pPr>
        <w:ind w:left="48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(一)</w:t>
      </w:r>
      <w:r w:rsidRPr="002A6522">
        <w:rPr>
          <w:rFonts w:ascii="標楷體" w:eastAsia="標楷體" w:hAnsi="標楷體" w:cs="新細明體"/>
          <w:kern w:val="0"/>
          <w:szCs w:val="24"/>
        </w:rPr>
        <w:t>未經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用人</w:t>
      </w:r>
      <w:r w:rsidRPr="002A6522">
        <w:rPr>
          <w:rFonts w:ascii="標楷體" w:eastAsia="標楷體" w:hAnsi="標楷體" w:cs="新細明體"/>
          <w:kern w:val="0"/>
          <w:szCs w:val="24"/>
        </w:rPr>
        <w:t>單位同意，不得擅離服務處所。</w:t>
      </w:r>
    </w:p>
    <w:p w:rsidR="00B10250" w:rsidRPr="002A6522" w:rsidRDefault="00B10250" w:rsidP="00B10250">
      <w:pPr>
        <w:ind w:left="48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(二)</w:t>
      </w:r>
      <w:r w:rsidRPr="002A6522">
        <w:rPr>
          <w:rFonts w:ascii="標楷體" w:eastAsia="標楷體" w:hAnsi="標楷體" w:cs="新細明體"/>
          <w:kern w:val="0"/>
          <w:szCs w:val="24"/>
        </w:rPr>
        <w:t>應保守業務機密，恪遵公務倫理，謹慎處理交辦事項。</w:t>
      </w:r>
    </w:p>
    <w:p w:rsidR="00B10250" w:rsidRPr="002A6522" w:rsidRDefault="00B10250" w:rsidP="00B10250">
      <w:pPr>
        <w:ind w:left="48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(三)</w:t>
      </w:r>
      <w:r w:rsidRPr="002A6522">
        <w:rPr>
          <w:rFonts w:ascii="標楷體" w:eastAsia="標楷體" w:hAnsi="標楷體" w:cs="新細明體"/>
          <w:kern w:val="0"/>
          <w:szCs w:val="24"/>
        </w:rPr>
        <w:t>不得由他人代替或代替他人簽到與簽退。</w:t>
      </w:r>
    </w:p>
    <w:p w:rsidR="00B10250" w:rsidRDefault="00B10250" w:rsidP="00B10250">
      <w:pPr>
        <w:ind w:leftChars="200" w:left="48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(四)</w:t>
      </w:r>
      <w:r w:rsidRPr="002A6522">
        <w:rPr>
          <w:rFonts w:ascii="標楷體" w:eastAsia="標楷體" w:hAnsi="標楷體" w:cs="新細明體"/>
          <w:kern w:val="0"/>
          <w:szCs w:val="24"/>
        </w:rPr>
        <w:t>應參與學校舉辦之各種在職訓練及集會。</w:t>
      </w:r>
    </w:p>
    <w:p w:rsidR="00B10250" w:rsidRPr="002A6522" w:rsidRDefault="00B10250" w:rsidP="00B10250">
      <w:pPr>
        <w:ind w:leftChars="200" w:left="480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(五)</w:t>
      </w:r>
      <w:r w:rsidRPr="002A6522">
        <w:rPr>
          <w:rFonts w:ascii="標楷體" w:eastAsia="標楷體" w:hAnsi="標楷體" w:cs="新細明體"/>
          <w:kern w:val="0"/>
          <w:szCs w:val="24"/>
        </w:rPr>
        <w:t>休學或退學者應通知用人單位。</w:t>
      </w:r>
    </w:p>
    <w:p w:rsidR="00B10250" w:rsidRPr="002A6522" w:rsidRDefault="00B10250" w:rsidP="00B10250">
      <w:pPr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十、</w:t>
      </w:r>
      <w:r w:rsidRPr="002A6522">
        <w:rPr>
          <w:rFonts w:ascii="標楷體" w:eastAsia="標楷體" w:hAnsi="標楷體" w:cs="新細明體"/>
          <w:kern w:val="0"/>
          <w:szCs w:val="24"/>
        </w:rPr>
        <w:t>工讀生考核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依相關規定辦理。</w:t>
      </w:r>
    </w:p>
    <w:p w:rsidR="00B10250" w:rsidRPr="002A6522" w:rsidRDefault="00B10250" w:rsidP="00B10250">
      <w:pPr>
        <w:ind w:left="698" w:hangingChars="291" w:hanging="698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十一、</w:t>
      </w:r>
      <w:r w:rsidRPr="002A6522">
        <w:rPr>
          <w:rFonts w:ascii="標楷體" w:eastAsia="標楷體" w:hAnsi="標楷體" w:cs="新細明體"/>
          <w:kern w:val="0"/>
          <w:szCs w:val="24"/>
        </w:rPr>
        <w:t>工讀契約期滿前提前離職者，應依本校相關規定辦理，提出書面申請，經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用人</w:t>
      </w:r>
      <w:r w:rsidRPr="002A6522">
        <w:rPr>
          <w:rFonts w:ascii="標楷體" w:eastAsia="標楷體" w:hAnsi="標楷體" w:cs="新細明體"/>
          <w:kern w:val="0"/>
          <w:szCs w:val="24"/>
        </w:rPr>
        <w:t>單位同意後始得離職。</w:t>
      </w:r>
    </w:p>
    <w:p w:rsidR="00B10250" w:rsidRPr="002A6522" w:rsidRDefault="00B10250" w:rsidP="00B10250">
      <w:pPr>
        <w:ind w:left="742" w:hangingChars="309" w:hanging="742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十二、工讀生爭議事項悉依「國立臺東大學學生兼任助理學習與勞動權益保障推動要點」辦理之。</w:t>
      </w:r>
    </w:p>
    <w:p w:rsidR="00B10250" w:rsidRPr="002A6522" w:rsidRDefault="00B10250" w:rsidP="00B10250">
      <w:pPr>
        <w:ind w:leftChars="11" w:left="698" w:hangingChars="280" w:hanging="672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十三、非屬第三點規範之臨時人員(臨時僱用按時或按日計酬之人員)，得準用本要點之規定。</w:t>
      </w:r>
    </w:p>
    <w:p w:rsidR="00B10250" w:rsidRPr="002A6522" w:rsidRDefault="00B10250" w:rsidP="00B10250">
      <w:pPr>
        <w:ind w:leftChars="11" w:left="698" w:hangingChars="280" w:hanging="672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十四、其他未盡事宜悉依勞動基準法等相關規定辦理。</w:t>
      </w:r>
    </w:p>
    <w:p w:rsidR="00B10250" w:rsidRPr="002A6522" w:rsidRDefault="00B10250" w:rsidP="00B10250">
      <w:pPr>
        <w:ind w:left="672" w:hangingChars="280" w:hanging="672"/>
        <w:rPr>
          <w:rFonts w:ascii="標楷體" w:eastAsia="標楷體" w:hAnsi="標楷體" w:cs="新細明體"/>
          <w:kern w:val="0"/>
          <w:szCs w:val="24"/>
        </w:rPr>
      </w:pPr>
      <w:r w:rsidRPr="002A6522">
        <w:rPr>
          <w:rFonts w:ascii="標楷體" w:eastAsia="標楷體" w:hAnsi="標楷體" w:cs="新細明體" w:hint="eastAsia"/>
          <w:kern w:val="0"/>
          <w:szCs w:val="24"/>
        </w:rPr>
        <w:t>十五、</w:t>
      </w:r>
      <w:r w:rsidRPr="002A6522">
        <w:rPr>
          <w:rFonts w:ascii="標楷體" w:eastAsia="標楷體" w:hAnsi="標楷體" w:cs="新細明體"/>
          <w:kern w:val="0"/>
          <w:szCs w:val="24"/>
        </w:rPr>
        <w:t>本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要點</w:t>
      </w:r>
      <w:r w:rsidRPr="002A6522">
        <w:rPr>
          <w:rFonts w:ascii="標楷體" w:eastAsia="標楷體" w:hAnsi="標楷體" w:cs="新細明體"/>
          <w:kern w:val="0"/>
          <w:szCs w:val="24"/>
        </w:rPr>
        <w:t>經</w:t>
      </w:r>
      <w:r>
        <w:rPr>
          <w:rFonts w:ascii="標楷體" w:eastAsia="標楷體" w:hAnsi="標楷體" w:cs="新細明體" w:hint="eastAsia"/>
          <w:kern w:val="0"/>
          <w:szCs w:val="24"/>
        </w:rPr>
        <w:t>校務基金管理委員會及</w:t>
      </w:r>
      <w:r w:rsidRPr="002A6522">
        <w:rPr>
          <w:rFonts w:ascii="標楷體" w:eastAsia="標楷體" w:hAnsi="標楷體" w:cs="新細明體" w:hint="eastAsia"/>
          <w:kern w:val="0"/>
          <w:szCs w:val="24"/>
        </w:rPr>
        <w:t>行政會議通過</w:t>
      </w:r>
      <w:r w:rsidRPr="002A6522">
        <w:rPr>
          <w:rFonts w:ascii="標楷體" w:eastAsia="標楷體" w:hAnsi="標楷體" w:cs="新細明體"/>
          <w:kern w:val="0"/>
          <w:szCs w:val="24"/>
        </w:rPr>
        <w:t>，校長核定後公布施行，修正時亦同</w:t>
      </w:r>
      <w:r w:rsidR="0089105C">
        <w:rPr>
          <w:rFonts w:ascii="標楷體" w:eastAsia="標楷體" w:hAnsi="標楷體" w:cs="新細明體" w:hint="eastAsia"/>
          <w:kern w:val="0"/>
          <w:szCs w:val="24"/>
        </w:rPr>
        <w:t>；</w:t>
      </w:r>
      <w:r w:rsidR="0073230F">
        <w:rPr>
          <w:rFonts w:ascii="標楷體" w:eastAsia="標楷體" w:hAnsi="標楷體" w:cs="新細明體" w:hint="eastAsia"/>
          <w:kern w:val="0"/>
          <w:szCs w:val="24"/>
        </w:rPr>
        <w:t>本要點修正若未涉及校務基金經費動支，免提校務基金管理委員會審議。</w:t>
      </w:r>
    </w:p>
    <w:p w:rsidR="00B10250" w:rsidRPr="00B10250" w:rsidRDefault="00B10250" w:rsidP="00B10250">
      <w:pPr>
        <w:jc w:val="right"/>
        <w:rPr>
          <w:rFonts w:ascii="標楷體" w:eastAsia="標楷體" w:hAnsi="標楷體"/>
          <w:b/>
          <w:bCs/>
          <w:sz w:val="20"/>
          <w:szCs w:val="20"/>
        </w:rPr>
      </w:pPr>
    </w:p>
    <w:sectPr w:rsidR="00B10250" w:rsidRPr="00B10250" w:rsidSect="000E3863">
      <w:pgSz w:w="11906" w:h="16838"/>
      <w:pgMar w:top="568" w:right="1416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E5" w:rsidRDefault="00DB3BE5" w:rsidP="00454815">
      <w:r>
        <w:separator/>
      </w:r>
    </w:p>
  </w:endnote>
  <w:endnote w:type="continuationSeparator" w:id="0">
    <w:p w:rsidR="00DB3BE5" w:rsidRDefault="00DB3BE5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E5" w:rsidRDefault="00DB3BE5" w:rsidP="00454815">
      <w:r>
        <w:separator/>
      </w:r>
    </w:p>
  </w:footnote>
  <w:footnote w:type="continuationSeparator" w:id="0">
    <w:p w:rsidR="00DB3BE5" w:rsidRDefault="00DB3BE5" w:rsidP="0045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7B3"/>
    <w:multiLevelType w:val="hybridMultilevel"/>
    <w:tmpl w:val="CADE216E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FE30327C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cstheme="minorBidi" w:hint="eastAsia"/>
        <w:b/>
        <w:color w:val="00B050"/>
        <w:sz w:val="24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191A56"/>
    <w:multiLevelType w:val="hybridMultilevel"/>
    <w:tmpl w:val="1610AB54"/>
    <w:lvl w:ilvl="0" w:tplc="428EA100">
      <w:start w:val="1"/>
      <w:numFmt w:val="taiwaneseCountingThousand"/>
      <w:pStyle w:val="1"/>
      <w:lvlText w:val="第%1條"/>
      <w:lvlJc w:val="left"/>
      <w:pPr>
        <w:ind w:left="906" w:hanging="480"/>
      </w:pPr>
      <w:rPr>
        <w:rFonts w:hint="eastAsia"/>
        <w:b w:val="0"/>
        <w:i w:val="0"/>
        <w:color w:val="FF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7A039B"/>
    <w:multiLevelType w:val="hybridMultilevel"/>
    <w:tmpl w:val="96863A84"/>
    <w:lvl w:ilvl="0" w:tplc="C6625A4C">
      <w:start w:val="1"/>
      <w:numFmt w:val="taiwaneseCountingThousand"/>
      <w:lvlText w:val="%1、"/>
      <w:lvlJc w:val="left"/>
      <w:pPr>
        <w:ind w:left="567" w:hanging="567"/>
      </w:pPr>
      <w:rPr>
        <w:rFonts w:hint="default"/>
      </w:rPr>
    </w:lvl>
    <w:lvl w:ilvl="1" w:tplc="9996A30A">
      <w:start w:val="6"/>
      <w:numFmt w:val="taiwaneseCountingThousand"/>
      <w:lvlText w:val="%2、"/>
      <w:lvlJc w:val="left"/>
      <w:pPr>
        <w:tabs>
          <w:tab w:val="num" w:pos="640"/>
        </w:tabs>
        <w:ind w:left="640" w:hanging="495"/>
      </w:pPr>
      <w:rPr>
        <w:rFonts w:hAnsi="Times New Roman"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105" w:hanging="480"/>
      </w:pPr>
    </w:lvl>
    <w:lvl w:ilvl="3" w:tplc="0409000F" w:tentative="1">
      <w:start w:val="1"/>
      <w:numFmt w:val="decimal"/>
      <w:lvlText w:val="%4."/>
      <w:lvlJc w:val="left"/>
      <w:pPr>
        <w:ind w:left="1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5" w:hanging="480"/>
      </w:pPr>
    </w:lvl>
    <w:lvl w:ilvl="5" w:tplc="0409001B" w:tentative="1">
      <w:start w:val="1"/>
      <w:numFmt w:val="lowerRoman"/>
      <w:lvlText w:val="%6."/>
      <w:lvlJc w:val="right"/>
      <w:pPr>
        <w:ind w:left="2545" w:hanging="480"/>
      </w:pPr>
    </w:lvl>
    <w:lvl w:ilvl="6" w:tplc="0409000F" w:tentative="1">
      <w:start w:val="1"/>
      <w:numFmt w:val="decimal"/>
      <w:lvlText w:val="%7."/>
      <w:lvlJc w:val="left"/>
      <w:pPr>
        <w:ind w:left="3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5" w:hanging="480"/>
      </w:pPr>
    </w:lvl>
    <w:lvl w:ilvl="8" w:tplc="0409001B" w:tentative="1">
      <w:start w:val="1"/>
      <w:numFmt w:val="lowerRoman"/>
      <w:lvlText w:val="%9."/>
      <w:lvlJc w:val="right"/>
      <w:pPr>
        <w:ind w:left="3985" w:hanging="480"/>
      </w:pPr>
    </w:lvl>
  </w:abstractNum>
  <w:abstractNum w:abstractNumId="3">
    <w:nsid w:val="282D0DDE"/>
    <w:multiLevelType w:val="hybridMultilevel"/>
    <w:tmpl w:val="4CE0B5EA"/>
    <w:lvl w:ilvl="0" w:tplc="226A99B4">
      <w:start w:val="1"/>
      <w:numFmt w:val="taiwaneseCountingThousand"/>
      <w:lvlText w:val="(%1)"/>
      <w:lvlJc w:val="left"/>
      <w:pPr>
        <w:tabs>
          <w:tab w:val="num" w:pos="1050"/>
        </w:tabs>
        <w:ind w:left="1050" w:hanging="48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4">
    <w:nsid w:val="288121AD"/>
    <w:multiLevelType w:val="hybridMultilevel"/>
    <w:tmpl w:val="072A28FC"/>
    <w:lvl w:ilvl="0" w:tplc="90E4E8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AE56B9"/>
    <w:multiLevelType w:val="multilevel"/>
    <w:tmpl w:val="6FCC7DE6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4207516D"/>
    <w:multiLevelType w:val="hybridMultilevel"/>
    <w:tmpl w:val="F36643E2"/>
    <w:lvl w:ilvl="0" w:tplc="97FAFDE6">
      <w:start w:val="1"/>
      <w:numFmt w:val="taiwaneseCountingThousand"/>
      <w:lvlText w:val="%1、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19282D"/>
    <w:multiLevelType w:val="hybridMultilevel"/>
    <w:tmpl w:val="8A402E20"/>
    <w:lvl w:ilvl="0" w:tplc="02526EA0">
      <w:start w:val="1"/>
      <w:numFmt w:val="taiwaneseCountingThousand"/>
      <w:lvlText w:val="%1、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891E1E"/>
    <w:multiLevelType w:val="hybridMultilevel"/>
    <w:tmpl w:val="882C9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396B01"/>
    <w:multiLevelType w:val="multilevel"/>
    <w:tmpl w:val="62FE0086"/>
    <w:lvl w:ilvl="0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>
    <w:nsid w:val="60530D04"/>
    <w:multiLevelType w:val="multilevel"/>
    <w:tmpl w:val="257EC0C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694839D7"/>
    <w:multiLevelType w:val="multilevel"/>
    <w:tmpl w:val="311EC82A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6B7C3EDD"/>
    <w:multiLevelType w:val="hybridMultilevel"/>
    <w:tmpl w:val="CF242134"/>
    <w:lvl w:ilvl="0" w:tplc="226A99B4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93A721D"/>
    <w:multiLevelType w:val="hybridMultilevel"/>
    <w:tmpl w:val="15EC3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3"/>
    <w:rsid w:val="00000595"/>
    <w:rsid w:val="00014ED0"/>
    <w:rsid w:val="00015995"/>
    <w:rsid w:val="00017664"/>
    <w:rsid w:val="00050F4F"/>
    <w:rsid w:val="000678B1"/>
    <w:rsid w:val="000703EA"/>
    <w:rsid w:val="00070DC4"/>
    <w:rsid w:val="000718E8"/>
    <w:rsid w:val="00075127"/>
    <w:rsid w:val="00095168"/>
    <w:rsid w:val="000A1AA3"/>
    <w:rsid w:val="000A58ED"/>
    <w:rsid w:val="000B4E91"/>
    <w:rsid w:val="000E3863"/>
    <w:rsid w:val="000F0C8F"/>
    <w:rsid w:val="000F780D"/>
    <w:rsid w:val="00102D9B"/>
    <w:rsid w:val="00130CEA"/>
    <w:rsid w:val="00135B6F"/>
    <w:rsid w:val="001520B3"/>
    <w:rsid w:val="00180F9E"/>
    <w:rsid w:val="0018530E"/>
    <w:rsid w:val="001965FA"/>
    <w:rsid w:val="001A08C7"/>
    <w:rsid w:val="001A77B2"/>
    <w:rsid w:val="001E1621"/>
    <w:rsid w:val="001E5024"/>
    <w:rsid w:val="00200DB1"/>
    <w:rsid w:val="0021061E"/>
    <w:rsid w:val="0023688A"/>
    <w:rsid w:val="0023750C"/>
    <w:rsid w:val="00253387"/>
    <w:rsid w:val="00256E4B"/>
    <w:rsid w:val="0026544E"/>
    <w:rsid w:val="00267B4A"/>
    <w:rsid w:val="002764D4"/>
    <w:rsid w:val="00276880"/>
    <w:rsid w:val="00283FBB"/>
    <w:rsid w:val="002968CE"/>
    <w:rsid w:val="002A6522"/>
    <w:rsid w:val="002B0D66"/>
    <w:rsid w:val="002E219F"/>
    <w:rsid w:val="00330AC2"/>
    <w:rsid w:val="00373DF7"/>
    <w:rsid w:val="0038137D"/>
    <w:rsid w:val="003A5FE4"/>
    <w:rsid w:val="003B7BA7"/>
    <w:rsid w:val="003D330B"/>
    <w:rsid w:val="003D4938"/>
    <w:rsid w:val="003E3391"/>
    <w:rsid w:val="003F051E"/>
    <w:rsid w:val="003F716F"/>
    <w:rsid w:val="0040196C"/>
    <w:rsid w:val="00421836"/>
    <w:rsid w:val="00433CEB"/>
    <w:rsid w:val="00436399"/>
    <w:rsid w:val="00454815"/>
    <w:rsid w:val="004B7966"/>
    <w:rsid w:val="004C27B7"/>
    <w:rsid w:val="004E1FB9"/>
    <w:rsid w:val="00524BF4"/>
    <w:rsid w:val="005335DE"/>
    <w:rsid w:val="00536CD8"/>
    <w:rsid w:val="00546622"/>
    <w:rsid w:val="00546FB0"/>
    <w:rsid w:val="005707FB"/>
    <w:rsid w:val="0059578C"/>
    <w:rsid w:val="005A006B"/>
    <w:rsid w:val="005B431E"/>
    <w:rsid w:val="005C1231"/>
    <w:rsid w:val="005C4BE5"/>
    <w:rsid w:val="005D3EED"/>
    <w:rsid w:val="005F3DE2"/>
    <w:rsid w:val="006002DC"/>
    <w:rsid w:val="00643EEF"/>
    <w:rsid w:val="00656497"/>
    <w:rsid w:val="00663475"/>
    <w:rsid w:val="0066610E"/>
    <w:rsid w:val="006854BF"/>
    <w:rsid w:val="006A093E"/>
    <w:rsid w:val="006F4F31"/>
    <w:rsid w:val="0073230F"/>
    <w:rsid w:val="00735F18"/>
    <w:rsid w:val="00737D95"/>
    <w:rsid w:val="00743A0D"/>
    <w:rsid w:val="00744793"/>
    <w:rsid w:val="007A1EC2"/>
    <w:rsid w:val="007B1882"/>
    <w:rsid w:val="007C5873"/>
    <w:rsid w:val="007C73B2"/>
    <w:rsid w:val="007D58ED"/>
    <w:rsid w:val="007D7498"/>
    <w:rsid w:val="007D7D4B"/>
    <w:rsid w:val="007E3D5B"/>
    <w:rsid w:val="00803C21"/>
    <w:rsid w:val="00834B8C"/>
    <w:rsid w:val="00837C13"/>
    <w:rsid w:val="00850765"/>
    <w:rsid w:val="008568B4"/>
    <w:rsid w:val="00871BA1"/>
    <w:rsid w:val="0089105C"/>
    <w:rsid w:val="00893508"/>
    <w:rsid w:val="00896B4F"/>
    <w:rsid w:val="008C281F"/>
    <w:rsid w:val="008C3289"/>
    <w:rsid w:val="008D4D76"/>
    <w:rsid w:val="008E498E"/>
    <w:rsid w:val="009032FB"/>
    <w:rsid w:val="009228E7"/>
    <w:rsid w:val="0097443A"/>
    <w:rsid w:val="00974D8B"/>
    <w:rsid w:val="00984AD8"/>
    <w:rsid w:val="009A3FC6"/>
    <w:rsid w:val="009B5239"/>
    <w:rsid w:val="009C7E98"/>
    <w:rsid w:val="00A01921"/>
    <w:rsid w:val="00A10780"/>
    <w:rsid w:val="00A141C6"/>
    <w:rsid w:val="00A87AE4"/>
    <w:rsid w:val="00AA7682"/>
    <w:rsid w:val="00AD3139"/>
    <w:rsid w:val="00AF46EC"/>
    <w:rsid w:val="00B02335"/>
    <w:rsid w:val="00B10250"/>
    <w:rsid w:val="00B1102F"/>
    <w:rsid w:val="00B24B13"/>
    <w:rsid w:val="00B4774C"/>
    <w:rsid w:val="00B61D02"/>
    <w:rsid w:val="00B633B5"/>
    <w:rsid w:val="00BA0175"/>
    <w:rsid w:val="00BB130A"/>
    <w:rsid w:val="00BB5AED"/>
    <w:rsid w:val="00BC6E3F"/>
    <w:rsid w:val="00BD6B95"/>
    <w:rsid w:val="00BE70F7"/>
    <w:rsid w:val="00BF7299"/>
    <w:rsid w:val="00C0739D"/>
    <w:rsid w:val="00C20AB2"/>
    <w:rsid w:val="00C534C7"/>
    <w:rsid w:val="00C60B16"/>
    <w:rsid w:val="00C63F05"/>
    <w:rsid w:val="00C6629C"/>
    <w:rsid w:val="00C97B20"/>
    <w:rsid w:val="00CA4FB4"/>
    <w:rsid w:val="00CA758B"/>
    <w:rsid w:val="00CB2E07"/>
    <w:rsid w:val="00CF166E"/>
    <w:rsid w:val="00CF2EFF"/>
    <w:rsid w:val="00D05F5C"/>
    <w:rsid w:val="00D06F3D"/>
    <w:rsid w:val="00D264F0"/>
    <w:rsid w:val="00D32889"/>
    <w:rsid w:val="00D539E2"/>
    <w:rsid w:val="00D57C62"/>
    <w:rsid w:val="00D71D8A"/>
    <w:rsid w:val="00DB3BE5"/>
    <w:rsid w:val="00DB3E8C"/>
    <w:rsid w:val="00DC2B80"/>
    <w:rsid w:val="00E21954"/>
    <w:rsid w:val="00E34029"/>
    <w:rsid w:val="00E569EE"/>
    <w:rsid w:val="00E96503"/>
    <w:rsid w:val="00EB2F72"/>
    <w:rsid w:val="00EB3E74"/>
    <w:rsid w:val="00EE2756"/>
    <w:rsid w:val="00F2134A"/>
    <w:rsid w:val="00F26215"/>
    <w:rsid w:val="00F37794"/>
    <w:rsid w:val="00F433FF"/>
    <w:rsid w:val="00F74CEE"/>
    <w:rsid w:val="00F92637"/>
    <w:rsid w:val="00FE5DBB"/>
    <w:rsid w:val="00FE7DD7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1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48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4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48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B8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link w:val="Default0"/>
    <w:rsid w:val="000E38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3">
    <w:name w:val="樣式3"/>
    <w:basedOn w:val="Default"/>
    <w:link w:val="30"/>
    <w:qFormat/>
    <w:rsid w:val="000E3863"/>
    <w:pPr>
      <w:snapToGrid w:val="0"/>
      <w:spacing w:line="400" w:lineRule="exact"/>
    </w:pPr>
    <w:rPr>
      <w:rFonts w:eastAsia="標楷體"/>
      <w:color w:val="auto"/>
    </w:rPr>
  </w:style>
  <w:style w:type="paragraph" w:customStyle="1" w:styleId="4">
    <w:name w:val="樣式4"/>
    <w:basedOn w:val="Default"/>
    <w:link w:val="40"/>
    <w:qFormat/>
    <w:rsid w:val="000E3863"/>
    <w:pPr>
      <w:snapToGrid w:val="0"/>
      <w:spacing w:line="400" w:lineRule="exact"/>
    </w:pPr>
    <w:rPr>
      <w:rFonts w:eastAsia="標楷體"/>
      <w:sz w:val="21"/>
      <w:szCs w:val="21"/>
    </w:rPr>
  </w:style>
  <w:style w:type="character" w:customStyle="1" w:styleId="Default0">
    <w:name w:val="Default 字元"/>
    <w:link w:val="Default"/>
    <w:rsid w:val="000E3863"/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30">
    <w:name w:val="樣式3 字元"/>
    <w:link w:val="3"/>
    <w:rsid w:val="000E3863"/>
    <w:rPr>
      <w:rFonts w:ascii="標楷體" w:eastAsia="標楷體" w:hAnsi="標楷體" w:cs="標楷體"/>
      <w:kern w:val="0"/>
      <w:szCs w:val="24"/>
    </w:rPr>
  </w:style>
  <w:style w:type="character" w:customStyle="1" w:styleId="40">
    <w:name w:val="樣式4 字元"/>
    <w:link w:val="4"/>
    <w:rsid w:val="000E3863"/>
    <w:rPr>
      <w:rFonts w:ascii="標楷體" w:eastAsia="標楷體" w:hAnsi="標楷體" w:cs="標楷體"/>
      <w:color w:val="000000"/>
      <w:kern w:val="0"/>
      <w:sz w:val="21"/>
      <w:szCs w:val="21"/>
    </w:rPr>
  </w:style>
  <w:style w:type="paragraph" w:styleId="aa">
    <w:name w:val="annotation text"/>
    <w:basedOn w:val="a"/>
    <w:link w:val="ab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b">
    <w:name w:val="註解文字 字元"/>
    <w:basedOn w:val="a0"/>
    <w:link w:val="aa"/>
    <w:rsid w:val="008C3289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">
    <w:name w:val="樣式1"/>
    <w:basedOn w:val="a"/>
    <w:link w:val="10"/>
    <w:qFormat/>
    <w:rsid w:val="008C3289"/>
    <w:pPr>
      <w:widowControl/>
      <w:numPr>
        <w:numId w:val="7"/>
      </w:numPr>
      <w:spacing w:beforeLines="50" w:line="0" w:lineRule="atLeast"/>
    </w:pPr>
    <w:rPr>
      <w:rFonts w:ascii="標楷體" w:eastAsia="標楷體" w:hAnsi="標楷體" w:cs="新細明體"/>
      <w:kern w:val="0"/>
      <w:sz w:val="28"/>
      <w:szCs w:val="28"/>
    </w:rPr>
  </w:style>
  <w:style w:type="character" w:customStyle="1" w:styleId="10">
    <w:name w:val="樣式1 字元"/>
    <w:link w:val="1"/>
    <w:rsid w:val="008C3289"/>
    <w:rPr>
      <w:rFonts w:ascii="標楷體" w:eastAsia="標楷體" w:hAnsi="標楷體" w:cs="新細明體"/>
      <w:kern w:val="0"/>
      <w:sz w:val="28"/>
      <w:szCs w:val="28"/>
    </w:rPr>
  </w:style>
  <w:style w:type="paragraph" w:styleId="ac">
    <w:name w:val="Body Text Indent"/>
    <w:basedOn w:val="a"/>
    <w:link w:val="ad"/>
    <w:rsid w:val="004B796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4B7966"/>
    <w:rPr>
      <w:rFonts w:ascii="Times New Roman" w:eastAsia="新細明體" w:hAnsi="Times New Roman" w:cs="Times New Roman"/>
      <w:szCs w:val="24"/>
    </w:rPr>
  </w:style>
  <w:style w:type="paragraph" w:customStyle="1" w:styleId="21">
    <w:name w:val="本文 21"/>
    <w:basedOn w:val="a"/>
    <w:rsid w:val="00546622"/>
    <w:pPr>
      <w:tabs>
        <w:tab w:val="left" w:pos="5580"/>
      </w:tabs>
      <w:adjustRightInd w:val="0"/>
      <w:ind w:left="358" w:hanging="358"/>
      <w:textAlignment w:val="baseline"/>
    </w:pPr>
    <w:rPr>
      <w:rFonts w:ascii="標楷體" w:eastAsia="標楷體" w:hAnsi="Times New Roman" w:cs="Times New Roman"/>
      <w:position w:val="1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978E-055B-476E-A76E-2E7F4B21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admin</cp:lastModifiedBy>
  <cp:revision>2</cp:revision>
  <cp:lastPrinted>2015-09-08T02:09:00Z</cp:lastPrinted>
  <dcterms:created xsi:type="dcterms:W3CDTF">2016-11-21T07:33:00Z</dcterms:created>
  <dcterms:modified xsi:type="dcterms:W3CDTF">2016-11-21T07:33:00Z</dcterms:modified>
</cp:coreProperties>
</file>